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245C8">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00" w:lineRule="exact"/>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附件2：</w:t>
      </w:r>
    </w:p>
    <w:p w14:paraId="781AF4F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00" w:lineRule="exact"/>
        <w:jc w:val="left"/>
        <w:rPr>
          <w:rFonts w:hint="eastAsia" w:ascii="Times New Roman" w:hAnsi="Times New Roman" w:cs="宋体"/>
          <w:color w:val="000000"/>
          <w:kern w:val="0"/>
          <w:sz w:val="28"/>
          <w:szCs w:val="24"/>
        </w:rPr>
      </w:pPr>
    </w:p>
    <w:p w14:paraId="0C82A2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800" w:lineRule="exact"/>
        <w:jc w:val="center"/>
        <w:textAlignment w:val="auto"/>
        <w:rPr>
          <w:rFonts w:hint="eastAsia" w:ascii="Times New Roman" w:hAnsi="Times New Roman" w:cs="宋体"/>
          <w:b/>
          <w:color w:val="000000"/>
          <w:kern w:val="0"/>
          <w:sz w:val="52"/>
          <w:szCs w:val="52"/>
        </w:rPr>
      </w:pPr>
      <w:r>
        <w:rPr>
          <w:rFonts w:hint="eastAsia" w:ascii="Times New Roman" w:hAnsi="Times New Roman" w:cs="宋体"/>
          <w:b/>
          <w:color w:val="000000"/>
          <w:kern w:val="0"/>
          <w:sz w:val="52"/>
          <w:szCs w:val="52"/>
        </w:rPr>
        <w:t>南江县妇幼保健院</w:t>
      </w:r>
    </w:p>
    <w:p w14:paraId="702382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800" w:lineRule="exact"/>
        <w:jc w:val="center"/>
        <w:textAlignment w:val="auto"/>
        <w:rPr>
          <w:rFonts w:hint="eastAsia" w:ascii="Times New Roman" w:hAnsi="Times New Roman" w:cs="宋体"/>
          <w:b/>
          <w:color w:val="000000"/>
          <w:kern w:val="0"/>
          <w:sz w:val="52"/>
          <w:szCs w:val="52"/>
        </w:rPr>
      </w:pPr>
      <w:r>
        <w:rPr>
          <w:rFonts w:hint="eastAsia" w:ascii="Times New Roman" w:hAnsi="Times New Roman" w:cs="宋体"/>
          <w:b/>
          <w:color w:val="000000"/>
          <w:kern w:val="0"/>
          <w:sz w:val="52"/>
          <w:szCs w:val="52"/>
          <w:lang w:val="en-US" w:eastAsia="zh-CN"/>
        </w:rPr>
        <w:t>竞争性磋商</w:t>
      </w:r>
      <w:r>
        <w:rPr>
          <w:rFonts w:hint="eastAsia" w:ascii="Times New Roman" w:hAnsi="Times New Roman" w:cs="宋体"/>
          <w:b/>
          <w:color w:val="000000"/>
          <w:kern w:val="0"/>
          <w:sz w:val="52"/>
          <w:szCs w:val="52"/>
        </w:rPr>
        <w:t>采购文件</w:t>
      </w:r>
    </w:p>
    <w:p w14:paraId="2B0458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681560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4A161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南妇幼采</w:t>
      </w:r>
      <w:r>
        <w:rPr>
          <w:rFonts w:hint="eastAsia" w:ascii="Times New Roman" w:hAnsi="Times New Roman" w:cs="宋体"/>
          <w:b/>
          <w:color w:val="000000"/>
          <w:kern w:val="0"/>
          <w:sz w:val="32"/>
          <w:szCs w:val="32"/>
          <w:lang w:val="en-US" w:eastAsia="zh-CN"/>
        </w:rPr>
        <w:t>磋</w:t>
      </w:r>
      <w:r>
        <w:rPr>
          <w:rFonts w:hint="eastAsia" w:ascii="Times New Roman" w:hAnsi="Times New Roman" w:cs="宋体"/>
          <w:b/>
          <w:color w:val="000000"/>
          <w:kern w:val="0"/>
          <w:sz w:val="32"/>
          <w:szCs w:val="32"/>
        </w:rPr>
        <w:t>〔202</w:t>
      </w:r>
      <w:r>
        <w:rPr>
          <w:rFonts w:hint="eastAsia" w:ascii="Times New Roman" w:hAnsi="Times New Roman" w:cs="宋体"/>
          <w:b/>
          <w:color w:val="000000"/>
          <w:kern w:val="0"/>
          <w:sz w:val="32"/>
          <w:szCs w:val="32"/>
          <w:lang w:val="en-US" w:eastAsia="zh-CN"/>
        </w:rPr>
        <w:t>60601</w:t>
      </w:r>
      <w:r>
        <w:rPr>
          <w:rFonts w:hint="eastAsia" w:ascii="Times New Roman" w:hAnsi="Times New Roman" w:cs="宋体"/>
          <w:b/>
          <w:color w:val="000000"/>
          <w:kern w:val="0"/>
          <w:sz w:val="32"/>
          <w:szCs w:val="32"/>
        </w:rPr>
        <w:t>〕</w:t>
      </w:r>
      <w:r>
        <w:rPr>
          <w:rFonts w:hint="eastAsia" w:ascii="Times New Roman" w:hAnsi="Times New Roman" w:cs="宋体"/>
          <w:b/>
          <w:color w:val="000000"/>
          <w:kern w:val="0"/>
          <w:sz w:val="32"/>
          <w:szCs w:val="32"/>
          <w:lang w:val="en-US" w:eastAsia="zh-CN"/>
        </w:rPr>
        <w:t>1</w:t>
      </w:r>
      <w:r>
        <w:rPr>
          <w:rFonts w:hint="eastAsia" w:ascii="Times New Roman" w:hAnsi="Times New Roman" w:cs="宋体"/>
          <w:b/>
          <w:color w:val="000000"/>
          <w:kern w:val="0"/>
          <w:sz w:val="32"/>
          <w:szCs w:val="32"/>
        </w:rPr>
        <w:t>号</w:t>
      </w:r>
    </w:p>
    <w:p w14:paraId="2E85A1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textAlignment w:val="auto"/>
        <w:rPr>
          <w:rFonts w:hint="eastAsia" w:ascii="Times New Roman" w:hAnsi="Times New Roman" w:cs="宋体"/>
          <w:b/>
          <w:color w:val="000000"/>
          <w:kern w:val="0"/>
          <w:sz w:val="44"/>
          <w:szCs w:val="44"/>
        </w:rPr>
      </w:pPr>
    </w:p>
    <w:p w14:paraId="107921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1325" w:firstLineChars="300"/>
        <w:jc w:val="center"/>
        <w:textAlignment w:val="auto"/>
        <w:rPr>
          <w:rFonts w:hint="eastAsia" w:ascii="Times New Roman" w:hAnsi="Times New Roman" w:cs="宋体"/>
          <w:b/>
          <w:color w:val="000000"/>
          <w:kern w:val="0"/>
          <w:sz w:val="44"/>
          <w:szCs w:val="44"/>
        </w:rPr>
      </w:pPr>
    </w:p>
    <w:p w14:paraId="4144F1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采 购 人：南江县妇幼保健院</w:t>
      </w:r>
    </w:p>
    <w:p w14:paraId="514C07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6CA0C1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5EB81E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tabs>
          <w:tab w:val="center" w:pos="5233"/>
        </w:tabs>
        <w:kinsoku/>
        <w:wordWrap/>
        <w:overflowPunct/>
        <w:topLinePunct w:val="0"/>
        <w:autoSpaceDE/>
        <w:autoSpaceDN/>
        <w:bidi w:val="0"/>
        <w:adjustRightInd/>
        <w:snapToGrid w:val="0"/>
        <w:spacing w:line="600" w:lineRule="exact"/>
        <w:ind w:firstLine="2650" w:firstLineChars="600"/>
        <w:jc w:val="both"/>
        <w:textAlignment w:val="auto"/>
        <w:rPr>
          <w:rFonts w:hint="default" w:ascii="Times New Roman" w:hAnsi="Times New Roman" w:eastAsia="宋体" w:cs="宋体"/>
          <w:b/>
          <w:color w:val="000000"/>
          <w:kern w:val="0"/>
          <w:sz w:val="44"/>
          <w:szCs w:val="44"/>
          <w:lang w:val="en-US" w:eastAsia="zh-CN"/>
        </w:rPr>
      </w:pPr>
      <w:r>
        <w:rPr>
          <w:rFonts w:hint="eastAsia" w:ascii="Times New Roman" w:hAnsi="Times New Roman" w:cs="宋体"/>
          <w:b/>
          <w:color w:val="000000"/>
          <w:kern w:val="0"/>
          <w:sz w:val="44"/>
          <w:szCs w:val="44"/>
        </w:rPr>
        <w:t xml:space="preserve">项目名称:  </w:t>
      </w:r>
      <w:r>
        <w:rPr>
          <w:rFonts w:hint="eastAsia" w:ascii="Times New Roman" w:hAnsi="Times New Roman" w:cs="宋体"/>
          <w:b/>
          <w:color w:val="000000"/>
          <w:kern w:val="0"/>
          <w:sz w:val="44"/>
          <w:szCs w:val="44"/>
          <w:lang w:val="en-US" w:eastAsia="zh-CN"/>
        </w:rPr>
        <w:t>绩效调整</w:t>
      </w:r>
    </w:p>
    <w:p w14:paraId="6D8E3D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157590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 </w:t>
      </w:r>
    </w:p>
    <w:p w14:paraId="74D792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 </w:t>
      </w:r>
    </w:p>
    <w:p w14:paraId="4B8E9C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7288" w:firstLineChars="1650"/>
        <w:jc w:val="left"/>
        <w:textAlignment w:val="auto"/>
        <w:rPr>
          <w:rFonts w:hint="eastAsia" w:ascii="Times New Roman" w:hAnsi="Times New Roman" w:cs="宋体"/>
          <w:b/>
          <w:color w:val="000000"/>
          <w:kern w:val="0"/>
          <w:sz w:val="44"/>
          <w:szCs w:val="44"/>
        </w:rPr>
      </w:pPr>
    </w:p>
    <w:p w14:paraId="524A46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南江县妇幼保健院制</w:t>
      </w:r>
    </w:p>
    <w:p w14:paraId="3C38E8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202</w:t>
      </w:r>
      <w:r>
        <w:rPr>
          <w:rFonts w:hint="eastAsia" w:ascii="Times New Roman" w:hAnsi="Times New Roman" w:cs="宋体"/>
          <w:b/>
          <w:color w:val="000000"/>
          <w:kern w:val="0"/>
          <w:sz w:val="32"/>
          <w:szCs w:val="32"/>
          <w:lang w:val="en-US" w:eastAsia="zh-CN"/>
        </w:rPr>
        <w:t>6</w:t>
      </w:r>
      <w:r>
        <w:rPr>
          <w:rFonts w:hint="eastAsia" w:ascii="Times New Roman" w:hAnsi="Times New Roman" w:cs="宋体"/>
          <w:b/>
          <w:color w:val="000000"/>
          <w:kern w:val="0"/>
          <w:sz w:val="32"/>
          <w:szCs w:val="32"/>
        </w:rPr>
        <w:t>年</w:t>
      </w:r>
      <w:r>
        <w:rPr>
          <w:rFonts w:hint="eastAsia" w:ascii="Times New Roman" w:hAnsi="Times New Roman" w:cs="宋体"/>
          <w:b/>
          <w:color w:val="000000"/>
          <w:kern w:val="0"/>
          <w:sz w:val="32"/>
          <w:szCs w:val="32"/>
          <w:lang w:val="en-US" w:eastAsia="zh-CN"/>
        </w:rPr>
        <w:t>6</w:t>
      </w:r>
      <w:r>
        <w:rPr>
          <w:rFonts w:hint="eastAsia" w:ascii="Times New Roman" w:hAnsi="Times New Roman" w:cs="宋体"/>
          <w:b/>
          <w:color w:val="000000"/>
          <w:kern w:val="0"/>
          <w:sz w:val="32"/>
          <w:szCs w:val="32"/>
        </w:rPr>
        <w:t>月</w:t>
      </w:r>
    </w:p>
    <w:p w14:paraId="72313A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ascii="Times New Roman" w:hAnsi="Times New Roman" w:cs="宋体"/>
          <w:b/>
          <w:color w:val="000000"/>
          <w:kern w:val="0"/>
          <w:sz w:val="44"/>
          <w:szCs w:val="44"/>
        </w:rPr>
        <w:t> </w:t>
      </w:r>
    </w:p>
    <w:p w14:paraId="5DB27040">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eastAsia="宋体" w:cs="宋体"/>
          <w:color w:val="000000"/>
          <w:kern w:val="0"/>
          <w:sz w:val="44"/>
          <w:szCs w:val="44"/>
          <w:lang w:eastAsia="zh-CN"/>
        </w:rPr>
      </w:pPr>
      <w:r>
        <w:rPr>
          <w:rFonts w:ascii="Times New Roman" w:hAnsi="Times New Roman" w:cs="宋体"/>
          <w:color w:val="000000"/>
          <w:kern w:val="0"/>
          <w:sz w:val="44"/>
          <w:szCs w:val="44"/>
        </w:rPr>
        <w:t> </w:t>
      </w:r>
    </w:p>
    <w:p w14:paraId="7D67B396">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44"/>
          <w:szCs w:val="44"/>
        </w:rPr>
      </w:pPr>
    </w:p>
    <w:p w14:paraId="037B2CBE">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ascii="Times New Roman" w:hAnsi="Times New Roman" w:cs="宋体"/>
          <w:color w:val="000000"/>
          <w:kern w:val="0"/>
          <w:sz w:val="28"/>
          <w:szCs w:val="24"/>
        </w:rPr>
      </w:pPr>
    </w:p>
    <w:p w14:paraId="659308FB">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48295E1B">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77727551">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192315D5">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552CC4BB">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第一部分 项目内容及要求</w:t>
      </w:r>
    </w:p>
    <w:p w14:paraId="2BA704F0">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一、项目内容</w:t>
      </w:r>
    </w:p>
    <w:p w14:paraId="0D7AD256">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1.项目号：20260601--1</w:t>
      </w:r>
    </w:p>
    <w:p w14:paraId="144AB49D">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2.采购执行编号：20260601-1</w:t>
      </w:r>
    </w:p>
    <w:p w14:paraId="107B6589">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3.采购项目名称：南江县妇幼保健院绩效方案设计</w:t>
      </w:r>
    </w:p>
    <w:p w14:paraId="7E29F3E6">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4.项目预算：采购预算 12 万（实际成交价    万），供应商报价应包含项目咨询费、培训辅导费、税金等。</w:t>
      </w:r>
    </w:p>
    <w:p w14:paraId="5CBA94CF">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二、项目采购清单</w:t>
      </w:r>
    </w:p>
    <w:tbl>
      <w:tblPr>
        <w:tblStyle w:val="2"/>
        <w:tblW w:w="4858" w:type="pct"/>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153"/>
        <w:gridCol w:w="4742"/>
        <w:gridCol w:w="1316"/>
        <w:gridCol w:w="1297"/>
        <w:gridCol w:w="1826"/>
      </w:tblGrid>
      <w:tr w14:paraId="0542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73" w:hRule="atLeast"/>
        </w:trPr>
        <w:tc>
          <w:tcPr>
            <w:tcW w:w="557" w:type="pct"/>
            <w:noWrap w:val="0"/>
            <w:vAlign w:val="center"/>
          </w:tcPr>
          <w:p w14:paraId="2DC28242">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294" w:type="pct"/>
            <w:noWrap w:val="0"/>
            <w:vAlign w:val="center"/>
          </w:tcPr>
          <w:p w14:paraId="2623B1A1">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分项服务</w:t>
            </w:r>
          </w:p>
        </w:tc>
        <w:tc>
          <w:tcPr>
            <w:tcW w:w="636" w:type="pct"/>
            <w:noWrap w:val="0"/>
            <w:vAlign w:val="center"/>
          </w:tcPr>
          <w:p w14:paraId="103D849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627" w:type="pct"/>
            <w:noWrap w:val="0"/>
            <w:vAlign w:val="center"/>
          </w:tcPr>
          <w:p w14:paraId="7678BA0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83" w:type="pct"/>
            <w:noWrap w:val="0"/>
            <w:vAlign w:val="center"/>
          </w:tcPr>
          <w:p w14:paraId="35DAC948">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采购预算</w:t>
            </w:r>
          </w:p>
        </w:tc>
      </w:tr>
      <w:tr w14:paraId="5638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21" w:hRule="atLeast"/>
        </w:trPr>
        <w:tc>
          <w:tcPr>
            <w:tcW w:w="557" w:type="pct"/>
            <w:noWrap w:val="0"/>
            <w:vAlign w:val="center"/>
          </w:tcPr>
          <w:p w14:paraId="7D6843E3">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294" w:type="pct"/>
            <w:noWrap w:val="0"/>
            <w:vAlign w:val="center"/>
          </w:tcPr>
          <w:p w14:paraId="3E5AF175">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方案设计</w:t>
            </w:r>
          </w:p>
        </w:tc>
        <w:tc>
          <w:tcPr>
            <w:tcW w:w="636" w:type="pct"/>
            <w:noWrap w:val="0"/>
            <w:vAlign w:val="center"/>
          </w:tcPr>
          <w:p w14:paraId="7E8B132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27" w:type="pct"/>
            <w:noWrap w:val="0"/>
            <w:vAlign w:val="center"/>
          </w:tcPr>
          <w:p w14:paraId="7F1BE0AF">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883" w:type="pct"/>
            <w:noWrap w:val="0"/>
            <w:vAlign w:val="center"/>
          </w:tcPr>
          <w:p w14:paraId="05454F62">
            <w:pPr>
              <w:ind w:left="0" w:leftChars="0" w:firstLine="640" w:firstLineChars="200"/>
              <w:rPr>
                <w:rFonts w:hint="eastAsia" w:ascii="仿宋_GB2312" w:hAnsi="仿宋_GB2312" w:eastAsia="仿宋_GB2312" w:cs="仿宋_GB2312"/>
                <w:sz w:val="32"/>
                <w:szCs w:val="32"/>
                <w:lang w:val="en-US" w:eastAsia="zh-CN"/>
              </w:rPr>
            </w:pPr>
          </w:p>
        </w:tc>
      </w:tr>
    </w:tbl>
    <w:p w14:paraId="248553A0">
      <w:pPr>
        <w:ind w:left="0" w:leftChars="0" w:firstLine="640" w:firstLineChars="200"/>
        <w:rPr>
          <w:rFonts w:hint="eastAsia" w:ascii="仿宋_GB2312" w:hAnsi="仿宋_GB2312" w:eastAsia="仿宋_GB2312" w:cs="仿宋_GB2312"/>
          <w:sz w:val="32"/>
          <w:szCs w:val="32"/>
          <w:lang w:val="en-US" w:eastAsia="zh-CN"/>
        </w:rPr>
      </w:pPr>
    </w:p>
    <w:p w14:paraId="70EACD04">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三、项目背景、建设原则及内容</w:t>
      </w:r>
    </w:p>
    <w:p w14:paraId="6E3ECE39">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（一）项目背景</w:t>
      </w:r>
    </w:p>
    <w:p w14:paraId="7BDD4E26">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1.政策背景</w:t>
      </w:r>
    </w:p>
    <w:p w14:paraId="62FB993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我国医改工作的全面开展及纵深推进，医保支付政策的持续调整，完善公立医院分配制度，推进公立医院绩效改革也势在必行。2016年国务院办公厅《关于印发深化医药卫生体制改革2016年重点工作任务的通知》(国办发〔2016〕26号)明确要求公立医院要建立以公益性为导向的考核评价机制，通过科学的绩效考核自主进行收入分配，做到多劳多得、优绩优酬，且严禁给医务人员设定创收指标，医务人员个人薪酬不得与医院的药品、耗材、大型医学检查等业务收入挂钩。2017年人社部、财政部、国家卫计委联合下文的《关于开展公立医院薪酬制度改革试点工作的指导意见》(人社部发〔2017〕10号)中提出要探索建立适应我国医疗行业特点的公立医院薪酬制度，以增加知识价值为导向进行分配，着力体现医务人员技术劳务价值，优化公立医院薪酬结构，要结合不同公立医院的功能定位和医、护、技、药、管等不同岗位职责要求，合理确定公立医院薪酬结构，注重医务人员长期激励。</w:t>
      </w:r>
    </w:p>
    <w:p w14:paraId="0750C29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五部门联合印发《关于深化公立医院薪酬制度改革的指导意见》(202152号)，一是：落实“两个允许”的要求；二是：充分落实医院内部分配自主权；三是：建立主要体现岗位职责的薪酬体系；四是：合理确定内部薪酬结构；五是：健全公立医院负责人薪酬激励约束机制；六是：建立以公益性为导向的考核评价机制；七是：拓宽薪酬制度改革的经费渠道。</w:t>
      </w:r>
    </w:p>
    <w:p w14:paraId="36B9B4E2">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2.医院发展背景</w:t>
      </w:r>
    </w:p>
    <w:p w14:paraId="78E1F33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在新的环境下医院逐步由粗放</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rPr>
        <w:t>管理转向精细化管理，绩效管理作为推动医院精细化管理的最主要手段，起到了尤为关键的作用。通过精细化绩效管理，引导全员关注人、财、物的细化管理，做到注重有效收入，解决成本，合理利用资源。</w:t>
      </w:r>
    </w:p>
    <w:p w14:paraId="10136E16">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3.职工诉求</w:t>
      </w:r>
    </w:p>
    <w:p w14:paraId="570EC392">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通过建立一套科学合理的绩效管理方案，做到公平、透明、充分沟通，从而调动员工的积极性，引导员工按照医院的总体发展方向走，从而实现促进医院发展与提升员工满意度的双赢局面。</w:t>
      </w:r>
    </w:p>
    <w:p w14:paraId="304729A2">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4.服务患者</w:t>
      </w:r>
    </w:p>
    <w:p w14:paraId="25F840B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以绩效导向为主要手段，坚持公立医院的基本原则：坚持公益性、服务于患者。从管理提升到员工满意，最后才能更好的服务患者。</w:t>
      </w:r>
    </w:p>
    <w:p w14:paraId="2C3F276D">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(二)项目建设原则</w:t>
      </w:r>
    </w:p>
    <w:p w14:paraId="5630568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规范性</w:t>
      </w:r>
    </w:p>
    <w:p w14:paraId="0D365AD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方案应当满足国家卫计委的“九项准则”要求，符合医改的各项政策要求，严禁给医务人员设定创收指标，医务人员薪酬不得与药品、耗材、医学检查等业务收入挂钩，将医务人员的工资收入与医疗服务的数量、质量、技术难度、成本控制、群众满意度等挂钩，做到多劳多得、优绩优酬、合理拉开收入差距。</w:t>
      </w:r>
    </w:p>
    <w:p w14:paraId="4CC55A61">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完整性</w:t>
      </w:r>
    </w:p>
    <w:p w14:paraId="11D65F9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整体绩效管理方案应包含：绩效预算控制、绩效核算、二次分配、运营分析</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个完整维度。</w:t>
      </w:r>
    </w:p>
    <w:p w14:paraId="667D873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定制化</w:t>
      </w:r>
    </w:p>
    <w:p w14:paraId="4372EC5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各家医院所处阶段不同、面临的问题不同、区域医疗资源配置不同等，绩效管理应根据医院实际情况进行设计，同时结合国内外先进的经验，通过专业的医院绩效管理咨询团队，</w:t>
      </w:r>
      <w:r>
        <w:rPr>
          <w:rFonts w:hint="eastAsia" w:ascii="仿宋_GB2312" w:hAnsi="仿宋_GB2312" w:eastAsia="仿宋_GB2312" w:cs="仿宋_GB2312"/>
          <w:sz w:val="32"/>
          <w:szCs w:val="32"/>
          <w:lang w:val="en-US" w:eastAsia="zh-CN"/>
        </w:rPr>
        <w:t>根据实际需求制定合理的基层医疗机构绩效管理实施方案</w:t>
      </w:r>
      <w:r>
        <w:rPr>
          <w:rFonts w:hint="eastAsia" w:ascii="仿宋_GB2312" w:hAnsi="仿宋_GB2312" w:eastAsia="仿宋_GB2312" w:cs="仿宋_GB2312"/>
          <w:sz w:val="32"/>
          <w:szCs w:val="32"/>
        </w:rPr>
        <w:t>。</w:t>
      </w:r>
    </w:p>
    <w:p w14:paraId="5D6415C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可操作性</w:t>
      </w:r>
    </w:p>
    <w:p w14:paraId="11A235E1">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在项目建设全周期过程中，要充分与医院领导层、中层、员工沟通，在提供专业绩效管理咨询服务的同时，做好对各岗位人员问题的解答工作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使整体项目建设顺利完成落地。</w:t>
      </w:r>
    </w:p>
    <w:p w14:paraId="174C8172">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5.安全性</w:t>
      </w:r>
    </w:p>
    <w:p w14:paraId="380DB3F4">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本项目涉及医院多个内部业务系统数据，系统必须提供完善的安全性控制，分别对不同业务领域、不同级别层次的用户提供其权限许可范围的分析信息和使用权限等，确保整个系统的安全运行。</w:t>
      </w:r>
    </w:p>
    <w:p w14:paraId="6ED2EA32">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（三）项目建设内容</w:t>
      </w:r>
    </w:p>
    <w:p w14:paraId="68CAAC2B">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1.绩效方案设计要求</w:t>
      </w:r>
    </w:p>
    <w:p w14:paraId="14A2CEE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临床医师绩效方案设计</w:t>
      </w:r>
      <w:r>
        <w:rPr>
          <w:rFonts w:hint="eastAsia" w:ascii="仿宋_GB2312" w:hAnsi="仿宋_GB2312" w:eastAsia="仿宋_GB2312" w:cs="仿宋_GB2312"/>
          <w:sz w:val="32"/>
          <w:szCs w:val="32"/>
          <w:lang w:eastAsia="zh-CN"/>
        </w:rPr>
        <w:t>：以DRG/DIP</w:t>
      </w:r>
      <w:r>
        <w:rPr>
          <w:rFonts w:hint="eastAsia" w:ascii="仿宋_GB2312" w:hAnsi="仿宋_GB2312" w:eastAsia="仿宋_GB2312" w:cs="仿宋_GB2312"/>
          <w:sz w:val="32"/>
          <w:szCs w:val="32"/>
          <w:lang w:val="en-US" w:eastAsia="zh-CN"/>
        </w:rPr>
        <w:t>权重</w:t>
      </w:r>
      <w:r>
        <w:rPr>
          <w:rFonts w:hint="eastAsia" w:ascii="仿宋_GB2312" w:hAnsi="仿宋_GB2312" w:eastAsia="仿宋_GB2312" w:cs="仿宋_GB2312"/>
          <w:sz w:val="32"/>
          <w:szCs w:val="32"/>
          <w:lang w:eastAsia="zh-CN"/>
        </w:rPr>
        <w:t>绩效工资、成本核算或运营效率绩效工资方法以及重点项目绩效工资方法。</w:t>
      </w:r>
      <w:r>
        <w:rPr>
          <w:rFonts w:hint="eastAsia" w:ascii="仿宋_GB2312" w:hAnsi="仿宋_GB2312" w:eastAsia="仿宋_GB2312" w:cs="仿宋_GB2312"/>
          <w:sz w:val="32"/>
          <w:szCs w:val="32"/>
        </w:rPr>
        <w:t>要与医保DRG病种付费的政策相适应，充分考虑医保病种付费对医院运营机制的影响，绩效方案既要体现多劳多得，又要激励医务人员追求内涵质量效益增长，解决科室做得越多医院亏损越多的两难困境。</w:t>
      </w:r>
    </w:p>
    <w:p w14:paraId="0EC08A85">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）护士绩效</w:t>
      </w:r>
      <w:r>
        <w:rPr>
          <w:rFonts w:hint="eastAsia" w:ascii="仿宋_GB2312" w:hAnsi="仿宋_GB2312" w:eastAsia="仿宋_GB2312" w:cs="仿宋_GB2312"/>
          <w:sz w:val="32"/>
          <w:szCs w:val="32"/>
          <w:lang w:val="en-US" w:eastAsia="zh-CN"/>
        </w:rPr>
        <w:t>方案设计：</w:t>
      </w:r>
      <w:r>
        <w:rPr>
          <w:rFonts w:hint="eastAsia" w:ascii="仿宋_GB2312" w:hAnsi="仿宋_GB2312" w:eastAsia="仿宋_GB2312" w:cs="仿宋_GB2312"/>
          <w:sz w:val="32"/>
          <w:szCs w:val="32"/>
          <w:lang w:eastAsia="zh-CN"/>
        </w:rPr>
        <w:t>以DRG/DIP</w:t>
      </w:r>
      <w:r>
        <w:rPr>
          <w:rFonts w:hint="eastAsia" w:ascii="仿宋_GB2312" w:hAnsi="仿宋_GB2312" w:eastAsia="仿宋_GB2312" w:cs="仿宋_GB2312"/>
          <w:sz w:val="32"/>
          <w:szCs w:val="32"/>
          <w:lang w:val="en-US" w:eastAsia="zh-CN"/>
        </w:rPr>
        <w:t>权重</w:t>
      </w:r>
      <w:r>
        <w:rPr>
          <w:rFonts w:hint="eastAsia" w:ascii="仿宋_GB2312" w:hAnsi="仿宋_GB2312" w:eastAsia="仿宋_GB2312" w:cs="仿宋_GB2312"/>
          <w:sz w:val="32"/>
          <w:szCs w:val="32"/>
          <w:lang w:eastAsia="zh-CN"/>
        </w:rPr>
        <w:t>绩效工资、成本核算或运营效率绩效工资方法或护理工作量、护理等级等绩效工资方法。</w:t>
      </w:r>
    </w:p>
    <w:p w14:paraId="52709437">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医技、医疗辅助科室绩效方案设计：主要应用RBRVS评估系统，以成本核算或工作量点数计算绩效工资或岗位系数计算绩效工资。</w:t>
      </w:r>
    </w:p>
    <w:p w14:paraId="6BE22C94">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行政后勤科室设计：行政后勤绩效方案设计要区分医院领导层、中层、员工三个不同岗位层级，推进党政、后勤部门岗位层级化管理；医院领导层绩效方案设计要结合当地政府部门颁布的相关政策文件；行政后勤员工绩效方案设计应同时结合部门、岗位、职称、学历等相关指标考核评价。</w:t>
      </w:r>
    </w:p>
    <w:p w14:paraId="20D4F6D2">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（5）专项绩效设计：手术难度绩效依据手术等级、手术台次等指标制定手术绩效方案；根据情况设立门诊人次、会诊人次、中医特色绩效等其他重点项目绩效工资办法；</w:t>
      </w:r>
    </w:p>
    <w:p w14:paraId="070D20B9">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项目其他要求</w:t>
      </w:r>
    </w:p>
    <w:p w14:paraId="6AA95D6A">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（一）项目培训要求</w:t>
      </w:r>
    </w:p>
    <w:p w14:paraId="037C669B">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分层培训：提供针对院领导、职能科室负责人、科室绩效管理员、普通员工等不同角色的定制化培训，包括：</w:t>
      </w:r>
    </w:p>
    <w:p w14:paraId="40D397BE">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1.医院绩效调研报告（培训对象：职能科室负责人及以上）；</w:t>
      </w:r>
    </w:p>
    <w:p w14:paraId="2628DB27">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2.医院绩效工资方案培训至少一次（培训对象：主任及护士长）；</w:t>
      </w:r>
    </w:p>
    <w:p w14:paraId="6A6F2BB0">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3.二次分配辅导培训一次（培训对象：主任及护士长）；</w:t>
      </w:r>
    </w:p>
    <w:p w14:paraId="663B1DD6">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（二）项目成果文件要求</w:t>
      </w:r>
    </w:p>
    <w:p w14:paraId="7BAE0D96">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1.医院绩效调研报告；</w:t>
      </w:r>
    </w:p>
    <w:p w14:paraId="35DE621B">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2.医院绩效工资核算分配方案；</w:t>
      </w:r>
    </w:p>
    <w:p w14:paraId="0025A500">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3.医院绩效工资二次分配指导意见；</w:t>
      </w:r>
    </w:p>
    <w:p w14:paraId="5BB82176">
      <w:pPr>
        <w:ind w:left="0" w:leftChars="0" w:firstLine="640" w:firstLineChars="200"/>
        <w:rPr>
          <w:rFonts w:hint="eastAsia" w:ascii="仿宋_GB2312" w:hAnsi="仿宋_GB2312" w:eastAsia="仿宋_GB2312" w:cs="仿宋_GB2312"/>
          <w:sz w:val="32"/>
          <w:szCs w:val="32"/>
          <w:lang w:val="en-US" w:eastAsia="zh-CN"/>
        </w:rPr>
      </w:pPr>
      <w:bookmarkStart w:id="0" w:name="_Toc50480093"/>
      <w:bookmarkStart w:id="1" w:name="_Hlk66124353"/>
      <w:r>
        <w:rPr>
          <w:rFonts w:hint="eastAsia" w:ascii="仿宋_GB2312" w:hAnsi="仿宋_GB2312" w:eastAsia="仿宋_GB2312" w:cs="仿宋_GB2312"/>
          <w:sz w:val="32"/>
          <w:szCs w:val="32"/>
          <w:lang w:val="en-US" w:eastAsia="zh-CN"/>
        </w:rPr>
        <w:t>（三）商务要求</w:t>
      </w:r>
      <w:bookmarkEnd w:id="0"/>
    </w:p>
    <w:bookmarkEnd w:id="1"/>
    <w:p w14:paraId="6CD5589B">
      <w:pPr>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1.项目周期</w:t>
      </w:r>
    </w:p>
    <w:p w14:paraId="21A63553">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项目时间计划：本项目总体安排为签订合同1个月内开始现场工作；项目进场后第2个月内用新方案发放第一个月绩效。</w:t>
      </w:r>
    </w:p>
    <w:p w14:paraId="2E55F795">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2.报价要求</w:t>
      </w:r>
    </w:p>
    <w:p w14:paraId="18397E28">
      <w:pPr>
        <w:bidi w:val="0"/>
        <w:rPr>
          <w:rFonts w:hint="eastAsia"/>
          <w:lang w:val="en-US" w:eastAsia="zh-CN"/>
        </w:rPr>
      </w:pPr>
      <w:r>
        <w:rPr>
          <w:rFonts w:hint="eastAsia"/>
          <w:lang w:val="en-US" w:eastAsia="zh-CN"/>
        </w:rPr>
        <w:t>（1）供应商报价不得高于本次采购的项目最高限价。</w:t>
      </w:r>
    </w:p>
    <w:p w14:paraId="0A6DC19C">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（2）供应商应在明细报价表中分别对绩效管理方案设计、绩效软件实施进行报价。</w:t>
      </w:r>
    </w:p>
    <w:p w14:paraId="57ACA5F7">
      <w:pPr>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售后服务</w:t>
      </w:r>
    </w:p>
    <w:p w14:paraId="41CBEEA8">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（1）质保期：</w:t>
      </w:r>
      <w:r>
        <w:rPr>
          <w:rFonts w:hint="eastAsia" w:ascii="仿宋_GB2312" w:hAnsi="仿宋_GB2312" w:eastAsia="仿宋_GB2312" w:cs="仿宋_GB2312"/>
          <w:sz w:val="32"/>
          <w:szCs w:val="32"/>
        </w:rPr>
        <w:t>自本项目</w:t>
      </w:r>
      <w:r>
        <w:rPr>
          <w:rFonts w:hint="eastAsia" w:ascii="仿宋_GB2312" w:hAnsi="仿宋_GB2312" w:eastAsia="仿宋_GB2312" w:cs="仿宋_GB2312"/>
          <w:sz w:val="32"/>
          <w:szCs w:val="32"/>
          <w:lang w:val="en-US" w:eastAsia="zh-CN"/>
        </w:rPr>
        <w:t>试运行结束并通过验收</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val="en-US" w:eastAsia="zh-CN"/>
        </w:rPr>
        <w:t>免费质保1年。</w:t>
      </w:r>
    </w:p>
    <w:p w14:paraId="3344E7C2">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（2）质保期过后，如需供应商继续对项目进行维护，绩效方案维护视具体维护内容另行商议维护费用。</w:t>
      </w:r>
    </w:p>
    <w:p w14:paraId="35240E5A">
      <w:pPr>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付款方式</w:t>
      </w:r>
    </w:p>
    <w:p w14:paraId="5677B109">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第一期：合同签订后一周内，采购人支付咨询服务费用的40%；</w:t>
      </w:r>
    </w:p>
    <w:p w14:paraId="464FA931">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第二期：发放绩效六个月，组织绩效方案确认后一周内，采购人支付咨询服务费用的50%；</w:t>
      </w:r>
    </w:p>
    <w:p w14:paraId="39416EEC">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第三期：运行满一年后，采购人支付咨询服务费用的10%。</w:t>
      </w:r>
    </w:p>
    <w:p w14:paraId="6FCBFC94">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（四）项目验收</w:t>
      </w:r>
    </w:p>
    <w:p w14:paraId="302465BA">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验收时间：试运行期六个月结束后一个月内组织验收</w:t>
      </w:r>
    </w:p>
    <w:p w14:paraId="5D1B3133">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验收方案：采购人应当在六个月试运行期结束后一个月内及时对采购项目进行验收，验收时采购人按照采购合同规定的技术、服务对供应商履约情况进行验收，出具验收书。</w:t>
      </w:r>
      <w:bookmarkStart w:id="2" w:name="_GoBack"/>
      <w:bookmarkEnd w:id="2"/>
    </w:p>
    <w:p w14:paraId="5B922DF2">
      <w:pPr>
        <w:rPr>
          <w:rFonts w:hint="eastAsia" w:ascii="仿宋_GB2312" w:hAnsi="仿宋_GB2312" w:eastAsia="仿宋_GB2312" w:cs="仿宋_GB2312"/>
          <w:sz w:val="32"/>
          <w:szCs w:val="32"/>
          <w:lang w:eastAsia="zh-CN"/>
        </w:rPr>
      </w:pPr>
    </w:p>
    <w:p w14:paraId="7542CFE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C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2026-06-08T06:23:34Z</dcterms:created>
  <dc:creator>Administrator</dc:creator>
  <cp:lastModifiedBy>微信用户</cp:lastModifiedBy>
  <dcterms:modified xsi:type="dcterms:W3CDTF">2026-06-08T06:23:43Z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eyJoZGlkIjoiNGQ5ZWIzNTBlNmExODE1NWFmMTQxOTc0MDc3NzNkZDAiLCJ1c2VySWQiOiIxMjkzNTIyMDI3In0=</vt:lpwstr>
  </property>
  <property fmtid="{D5CDD505-2E9C-101B-9397-08002B2CF9AE}" pid="4" name="ICV">
    <vt:lpwstr>06972AEF515B46FAA1FA64ABDA9DA979_12</vt:lpwstr>
  </property>
</Properties>
</file>