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  价  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致：南江县妇幼保健院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我单位全面研究了贵院《关于聘请法律顾问的询价邀请公告》相关要求，决定参加贵院组织的询价活动，我单位投标报价如下：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221"/>
        <w:gridCol w:w="1115"/>
        <w:gridCol w:w="252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25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73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服务期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14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合计金额（人民币）</w:t>
            </w:r>
          </w:p>
        </w:tc>
        <w:tc>
          <w:tcPr>
            <w:tcW w:w="537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大写：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8522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非诉讼案件调解、诉讼案件代理、仲裁案件代理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等案件代理的收费标准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单位（盖章）：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法定代表人（签字）：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报价日期：    年   月   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注：报价公司需同时提交单位资质扫描件（加盖鲜章）、法定代表人身份证明（扫描件）。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7E23252D"/>
    <w:rsid w:val="4E5F1C1A"/>
    <w:rsid w:val="7DB163E5"/>
    <w:rsid w:val="7E2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  <w:style w:type="paragraph" w:customStyle="1" w:styleId="6">
    <w:name w:val="标题 5（有编号）（绿盟科技）"/>
    <w:basedOn w:val="1"/>
    <w:next w:val="1"/>
    <w:qFormat/>
    <w:uiPriority w:val="0"/>
    <w:pPr>
      <w:keepNext/>
      <w:keepLines/>
      <w:spacing w:before="280" w:after="156" w:line="376" w:lineRule="auto"/>
      <w:jc w:val="left"/>
      <w:outlineLvl w:val="4"/>
    </w:pPr>
    <w:rPr>
      <w:rFonts w:ascii="Arial" w:hAnsi="Arial" w:eastAsia="黑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248</Characters>
  <Lines>0</Lines>
  <Paragraphs>0</Paragraphs>
  <TotalTime>6</TotalTime>
  <ScaleCrop>false</ScaleCrop>
  <LinksUpToDate>false</LinksUpToDate>
  <CharactersWithSpaces>346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2023-05-31T11:04:00Z</dcterms:created>
  <dc:creator>T</dc:creator>
  <cp:lastModifiedBy>唐科</cp:lastModifiedBy>
  <cp:lastPrinted>2023-08-14T02:47:51Z</cp:lastPrinted>
  <dcterms:modified xsi:type="dcterms:W3CDTF">2023-08-14T02:51:22Z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945CB88433514B20A58C0A98593B89D5_13</vt:lpwstr>
  </property>
</Properties>
</file>